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78E7EEFD" w:rsidR="00CB1F85" w:rsidRDefault="00D93670" w:rsidP="00CB1F85">
      <w:pPr>
        <w:tabs>
          <w:tab w:val="center" w:pos="4536"/>
          <w:tab w:val="right" w:pos="9072"/>
        </w:tabs>
      </w:pPr>
      <w:r>
        <w:t>Príloha č. 4 r</w:t>
      </w:r>
      <w:r>
        <w:rPr>
          <w:szCs w:val="20"/>
        </w:rPr>
        <w:t>ozhodnutia o schválení žiadosti o poskytnutie nenávratného finančného príspevku</w:t>
      </w:r>
      <w:r w:rsidR="00CB1F85">
        <w:t xml:space="preserve">*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684A62E9" w:rsidR="000012E8" w:rsidRDefault="00643CE4" w:rsidP="007A558C">
      <w:pPr>
        <w:spacing w:before="240" w:after="240"/>
        <w:jc w:val="both"/>
        <w:rPr>
          <w:sz w:val="22"/>
          <w:szCs w:val="22"/>
          <w:lang w:eastAsia="cs-CZ"/>
        </w:rPr>
      </w:pPr>
      <w:r>
        <w:rPr>
          <w:sz w:val="22"/>
          <w:szCs w:val="22"/>
          <w:lang w:eastAsia="cs-CZ"/>
        </w:rPr>
        <w:t xml:space="preserve">Táto Príloha </w:t>
      </w:r>
      <w:r w:rsidR="00D93670">
        <w:rPr>
          <w:sz w:val="22"/>
          <w:szCs w:val="22"/>
          <w:lang w:eastAsia="cs-CZ"/>
        </w:rPr>
        <w:t>Rozhodnutia o schválení žiadosti o poskytnutie nenávratného finančného príspevku</w:t>
      </w:r>
      <w:r>
        <w:rPr>
          <w:sz w:val="22"/>
          <w:szCs w:val="22"/>
          <w:lang w:eastAsia="cs-CZ"/>
        </w:rPr>
        <w:t xml:space="preserve">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8F4E8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w:t>
      </w:r>
      <w:r w:rsidR="00D93670">
        <w:rPr>
          <w:sz w:val="22"/>
          <w:szCs w:val="22"/>
          <w:lang w:eastAsia="cs-CZ"/>
        </w:rPr>
        <w:t>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w:t>
      </w:r>
      <w:r w:rsidR="00D93670">
        <w:rPr>
          <w:sz w:val="22"/>
          <w:szCs w:val="22"/>
          <w:lang w:eastAsia="cs-CZ"/>
        </w:rPr>
        <w:t>Rozhodnutia o schválení žiadosti o poskytnutie nenávratného finančného príspevku</w:t>
      </w:r>
      <w:r>
        <w:rPr>
          <w:sz w:val="22"/>
          <w:szCs w:val="22"/>
          <w:lang w:eastAsia="cs-CZ"/>
        </w:rPr>
        <w:t xml:space="preserve">,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bookmarkStart w:id="0" w:name="_GoBack"/>
      <w:bookmarkEnd w:id="0"/>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77777777" w:rsidR="00CB1F85" w:rsidRDefault="00CB1F85" w:rsidP="00E06F79">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77777777"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77777777"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77777777" w:rsidR="00CB1F85" w:rsidRPr="00AB2DF3" w:rsidRDefault="00CB1F85" w:rsidP="00E06F79">
            <w:pPr>
              <w:jc w:val="both"/>
              <w:rPr>
                <w:sz w:val="22"/>
                <w:szCs w:val="22"/>
                <w:lang w:eastAsia="cs-CZ"/>
              </w:rPr>
            </w:pPr>
            <w:r>
              <w:rPr>
                <w:sz w:val="22"/>
                <w:szCs w:val="22"/>
                <w:lang w:eastAsia="cs-CZ"/>
              </w:rPr>
              <w:t>Vyšší počet predložených ponúk sa posudzuje individuálne s ohľadom na predmet zákazky a v prípade reverznej súťaže a zákaziek zadávaných s využitím elektronického trhoviska sa berie do úvahy celkový počet predložených ponúk.</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oblasť </w:t>
            </w:r>
            <w:r w:rsidRPr="000E7039">
              <w:rPr>
                <w:sz w:val="22"/>
                <w:szCs w:val="22"/>
                <w:lang w:eastAsia="cs-CZ"/>
              </w:rPr>
              <w:lastRenderedPageBreak/>
              <w:t>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77777777" w:rsidR="00CB1F85" w:rsidRDefault="00CB1F85" w:rsidP="00E06F79">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lastRenderedPageBreak/>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7777777"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w:t>
            </w:r>
            <w:r w:rsidRPr="00AB2DF3">
              <w:rPr>
                <w:sz w:val="22"/>
                <w:szCs w:val="22"/>
                <w:lang w:eastAsia="cs-CZ"/>
              </w:rPr>
              <w:lastRenderedPageBreak/>
              <w:t>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1A19E78C" w14:textId="77777777" w:rsidR="00CB1F85" w:rsidRPr="002550C0" w:rsidRDefault="00CB1F85" w:rsidP="00E06F79">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6ED49BE1" w14:textId="77777777" w:rsidR="00CB1F85" w:rsidRPr="002550C0" w:rsidRDefault="00CB1F85" w:rsidP="00E06F79">
            <w:pPr>
              <w:jc w:val="both"/>
              <w:rPr>
                <w:sz w:val="22"/>
                <w:szCs w:val="22"/>
              </w:rPr>
            </w:pPr>
          </w:p>
          <w:p w14:paraId="6D6D0584"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0A797FAF" w14:textId="77777777" w:rsidR="00CB1F85" w:rsidRPr="00AB2DF3" w:rsidRDefault="00CB1F85" w:rsidP="00E06F79">
            <w:pPr>
              <w:jc w:val="both"/>
              <w:rPr>
                <w:sz w:val="22"/>
                <w:szCs w:val="22"/>
                <w:lang w:eastAsia="cs-CZ"/>
              </w:rPr>
            </w:pPr>
          </w:p>
          <w:p w14:paraId="7224113F" w14:textId="77777777" w:rsidR="00CB1F85" w:rsidRPr="002550C0"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6CB69253" w14:textId="77777777" w:rsidR="00CB1F85" w:rsidRDefault="00CB1F85" w:rsidP="00E06F79">
            <w:pPr>
              <w:jc w:val="both"/>
              <w:rPr>
                <w:sz w:val="22"/>
                <w:szCs w:val="22"/>
                <w:lang w:eastAsia="cs-CZ"/>
              </w:rPr>
            </w:pPr>
            <w:r>
              <w:rPr>
                <w:sz w:val="22"/>
                <w:szCs w:val="22"/>
                <w:lang w:eastAsia="cs-CZ"/>
              </w:rPr>
              <w:t>10 %</w:t>
            </w:r>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 xml:space="preserve">ení </w:t>
            </w:r>
            <w:r>
              <w:rPr>
                <w:sz w:val="22"/>
                <w:szCs w:val="22"/>
                <w:lang w:eastAsia="cs-CZ"/>
              </w:rPr>
              <w:lastRenderedPageBreak/>
              <w:t>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w:t>
            </w:r>
            <w:r w:rsidRPr="00224E03">
              <w:rPr>
                <w:sz w:val="22"/>
                <w:szCs w:val="22"/>
                <w:lang w:eastAsia="cs-CZ"/>
              </w:rPr>
              <w:lastRenderedPageBreak/>
              <w:t>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77777777" w:rsidR="00CB1F85" w:rsidRPr="00AB2DF3" w:rsidRDefault="00CB1F85" w:rsidP="00E06F79">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77777777" w:rsidR="00CB1F85" w:rsidRPr="00AB2DF3" w:rsidRDefault="00CB1F85" w:rsidP="00E06F79">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2"/>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895D1" w14:textId="77777777" w:rsidR="005835C3" w:rsidRDefault="005835C3" w:rsidP="00B948E0">
      <w:r>
        <w:separator/>
      </w:r>
    </w:p>
  </w:endnote>
  <w:endnote w:type="continuationSeparator" w:id="0">
    <w:p w14:paraId="7EF7E9E6" w14:textId="77777777" w:rsidR="005835C3" w:rsidRDefault="005835C3" w:rsidP="00B948E0">
      <w:r>
        <w:continuationSeparator/>
      </w:r>
    </w:p>
  </w:endnote>
  <w:endnote w:type="continuationNotice" w:id="1">
    <w:p w14:paraId="12F71018" w14:textId="77777777" w:rsidR="005835C3" w:rsidRDefault="005835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CF9D" w14:textId="77777777" w:rsidR="005835C3" w:rsidRDefault="005835C3" w:rsidP="00B948E0">
      <w:r>
        <w:separator/>
      </w:r>
    </w:p>
  </w:footnote>
  <w:footnote w:type="continuationSeparator" w:id="0">
    <w:p w14:paraId="273752D8" w14:textId="77777777" w:rsidR="005835C3" w:rsidRDefault="005835C3" w:rsidP="00B948E0">
      <w:r>
        <w:continuationSeparator/>
      </w:r>
    </w:p>
  </w:footnote>
  <w:footnote w:type="continuationNotice" w:id="1">
    <w:p w14:paraId="7CBED12F" w14:textId="77777777" w:rsidR="005835C3" w:rsidRDefault="005835C3"/>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41EC0A5D" w:rsidR="00562EF6" w:rsidRPr="00CB1F85" w:rsidRDefault="00D93670" w:rsidP="00CB1F85">
    <w:pPr>
      <w:pStyle w:val="Hlavika"/>
    </w:pPr>
    <w:r>
      <w:rPr>
        <w:sz w:val="22"/>
        <w:szCs w:val="22"/>
      </w:rPr>
      <w:t xml:space="preserve">4. Vzor prílohy č. 4 </w:t>
    </w:r>
    <w:r>
      <w:t>r</w:t>
    </w:r>
    <w:r>
      <w:rPr>
        <w:szCs w:val="20"/>
      </w:rPr>
      <w:t>ozhodnutia o schválení žiadosti o poskytnutie nenávratného finančného príspevku</w:t>
    </w:r>
    <w:r>
      <w:t xml:space="preserve"> - </w:t>
    </w:r>
    <w:r>
      <w:rPr>
        <w:bCs/>
      </w:rPr>
      <w:t>Finančné opravy za porušenie pravidiel a postupov verejného obstarávania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35C3"/>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3670"/>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61607-4975-41A4-9F4C-D0AF4FC87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5962</Words>
  <Characters>33988</Characters>
  <Application>Microsoft Office Word</Application>
  <DocSecurity>0</DocSecurity>
  <Lines>283</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2019-10-29T14:40:00Z</dcterms:modified>
</cp:coreProperties>
</file>